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7AAC4F">
      <w:pPr>
        <w:pStyle w:val="2"/>
        <w:jc w:val="center"/>
        <w:rPr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</w:pPr>
      <w:bookmarkStart w:id="0" w:name="_GoBack"/>
      <w:bookmarkEnd w:id="0"/>
    </w:p>
    <w:p w14:paraId="02B48FD3">
      <w:pPr>
        <w:pStyle w:val="2"/>
        <w:jc w:val="center"/>
        <w:rPr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</w:pPr>
      <w:r>
        <w:rPr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  <w:t>售电报价表</w:t>
      </w:r>
    </w:p>
    <w:tbl>
      <w:tblPr>
        <w:tblStyle w:val="7"/>
        <w:tblpPr w:leftFromText="180" w:rightFromText="180" w:vertAnchor="text" w:tblpX="40" w:tblpY="298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73"/>
        <w:gridCol w:w="2460"/>
        <w:gridCol w:w="4470"/>
      </w:tblGrid>
      <w:tr w14:paraId="2AFD16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</w:trPr>
        <w:tc>
          <w:tcPr>
            <w:tcW w:w="2273" w:type="dxa"/>
            <w:vAlign w:val="center"/>
          </w:tcPr>
          <w:p w14:paraId="46C73332">
            <w:pPr>
              <w:widowControl w:val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供应商售电代码</w:t>
            </w:r>
          </w:p>
        </w:tc>
        <w:tc>
          <w:tcPr>
            <w:tcW w:w="6930" w:type="dxa"/>
            <w:gridSpan w:val="2"/>
            <w:vAlign w:val="center"/>
          </w:tcPr>
          <w:p w14:paraId="4E7D535C">
            <w:pPr>
              <w:widowControl w:val="0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4934E6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2273" w:type="dxa"/>
            <w:vAlign w:val="center"/>
          </w:tcPr>
          <w:p w14:paraId="0EE93B03">
            <w:pPr>
              <w:widowControl w:val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固定价部分</w:t>
            </w:r>
          </w:p>
        </w:tc>
        <w:tc>
          <w:tcPr>
            <w:tcW w:w="2460" w:type="dxa"/>
            <w:vAlign w:val="center"/>
          </w:tcPr>
          <w:p w14:paraId="5E1AF91F">
            <w:pPr>
              <w:widowControl w:val="0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采购人当月实际</w:t>
            </w:r>
          </w:p>
          <w:p w14:paraId="1C376F9A">
            <w:pPr>
              <w:widowControl w:val="0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用电量*90%</w:t>
            </w:r>
          </w:p>
        </w:tc>
        <w:tc>
          <w:tcPr>
            <w:tcW w:w="4470" w:type="dxa"/>
            <w:vAlign w:val="center"/>
          </w:tcPr>
          <w:p w14:paraId="0436129B">
            <w:pPr>
              <w:widowControl w:val="0"/>
              <w:jc w:val="both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该部分电量平段电价按</w:t>
            </w: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     </w:t>
            </w: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元/千瓦时执行</w:t>
            </w:r>
          </w:p>
        </w:tc>
      </w:tr>
      <w:tr w14:paraId="7D22BE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2273" w:type="dxa"/>
            <w:vAlign w:val="center"/>
          </w:tcPr>
          <w:p w14:paraId="794B992C">
            <w:pPr>
              <w:widowControl w:val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市场联动部分</w:t>
            </w:r>
          </w:p>
        </w:tc>
        <w:tc>
          <w:tcPr>
            <w:tcW w:w="2460" w:type="dxa"/>
            <w:vAlign w:val="center"/>
          </w:tcPr>
          <w:p w14:paraId="02758622">
            <w:pPr>
              <w:widowControl w:val="0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采购人当月实际</w:t>
            </w:r>
          </w:p>
          <w:p w14:paraId="60D6D563">
            <w:pPr>
              <w:widowControl w:val="0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用电量*10%</w:t>
            </w:r>
          </w:p>
        </w:tc>
        <w:tc>
          <w:tcPr>
            <w:tcW w:w="4470" w:type="dxa"/>
            <w:vAlign w:val="center"/>
          </w:tcPr>
          <w:p w14:paraId="7B6AC33B">
            <w:pPr>
              <w:widowControl w:val="0"/>
              <w:jc w:val="both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该部分电量平段电价联动月度中长期交易综合价</w:t>
            </w:r>
          </w:p>
        </w:tc>
      </w:tr>
      <w:tr w14:paraId="7DA33D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2273" w:type="dxa"/>
            <w:vAlign w:val="center"/>
          </w:tcPr>
          <w:p w14:paraId="7C5F39F0">
            <w:pPr>
              <w:widowControl w:val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上浮费用部分</w:t>
            </w:r>
          </w:p>
        </w:tc>
        <w:tc>
          <w:tcPr>
            <w:tcW w:w="2460" w:type="dxa"/>
            <w:vAlign w:val="center"/>
          </w:tcPr>
          <w:p w14:paraId="6AF43CE2">
            <w:pPr>
              <w:widowControl w:val="0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采购人当月实际</w:t>
            </w:r>
          </w:p>
          <w:p w14:paraId="520A9A16">
            <w:pPr>
              <w:widowControl w:val="0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用电量*100%</w:t>
            </w:r>
          </w:p>
        </w:tc>
        <w:tc>
          <w:tcPr>
            <w:tcW w:w="4470" w:type="dxa"/>
            <w:vAlign w:val="center"/>
          </w:tcPr>
          <w:p w14:paraId="1EB9910A">
            <w:pPr>
              <w:widowControl w:val="0"/>
              <w:jc w:val="both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采购人向供应商支付</w:t>
            </w: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0.00 </w:t>
            </w: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元/千瓦时</w:t>
            </w:r>
          </w:p>
        </w:tc>
      </w:tr>
      <w:tr w14:paraId="295C4A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0" w:hRule="atLeast"/>
        </w:trPr>
        <w:tc>
          <w:tcPr>
            <w:tcW w:w="2273" w:type="dxa"/>
            <w:vAlign w:val="center"/>
          </w:tcPr>
          <w:p w14:paraId="34BA3A40">
            <w:pPr>
              <w:widowControl w:val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其他说明</w:t>
            </w:r>
          </w:p>
        </w:tc>
        <w:tc>
          <w:tcPr>
            <w:tcW w:w="6930" w:type="dxa"/>
            <w:gridSpan w:val="2"/>
            <w:vAlign w:val="center"/>
          </w:tcPr>
          <w:p w14:paraId="40C20428">
            <w:pPr>
              <w:widowControl w:val="0"/>
              <w:numPr>
                <w:ilvl w:val="0"/>
                <w:numId w:val="1"/>
              </w:numPr>
              <w:jc w:val="both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代理交易期间</w:t>
            </w: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highlight w:val="none"/>
                <w:vertAlign w:val="baseline"/>
                <w:lang w:val="en-US" w:eastAsia="zh-CN"/>
              </w:rPr>
              <w:t>，用电单位用</w:t>
            </w: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电偏差产生的偏差考核惩罚费用，由中标供应商100%全额承担。</w:t>
            </w:r>
          </w:p>
          <w:p w14:paraId="728E72E8">
            <w:pPr>
              <w:widowControl w:val="0"/>
              <w:numPr>
                <w:ilvl w:val="0"/>
                <w:numId w:val="1"/>
              </w:numPr>
              <w:jc w:val="both"/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  <w:t>代理交易期间，购买电量的交易手续费由</w:t>
            </w: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由中标供应商100%全额承担。</w:t>
            </w:r>
          </w:p>
        </w:tc>
      </w:tr>
    </w:tbl>
    <w:p w14:paraId="77E4A686">
      <w:pP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</w:p>
    <w:p w14:paraId="20D94956">
      <w:pPr>
        <w:pStyle w:val="2"/>
        <w:keepNext w:val="0"/>
        <w:keepLines w:val="0"/>
        <w:pageBreakBefore w:val="0"/>
        <w:widowControl w:val="0"/>
        <w:tabs>
          <w:tab w:val="left" w:pos="4840"/>
          <w:tab w:val="left" w:pos="5460"/>
          <w:tab w:val="left" w:pos="58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Autospacing="0"/>
        <w:ind w:firstLine="3080" w:firstLineChars="1100"/>
        <w:jc w:val="both"/>
        <w:textAlignment w:val="auto"/>
        <w:rPr>
          <w:rFonts w:hint="eastAsia" w:asciiTheme="majorEastAsia" w:hAnsiTheme="majorEastAsia" w:eastAsiaTheme="majorEastAsia" w:cstheme="majorEastAsia"/>
          <w:b w:val="0"/>
          <w:bCs w:val="0"/>
          <w:kern w:val="2"/>
          <w:sz w:val="28"/>
          <w:szCs w:val="28"/>
          <w:vertAlign w:val="baseline"/>
          <w:lang w:val="en-US" w:eastAsia="zh-CN" w:bidi="ar-SA"/>
        </w:rPr>
      </w:pPr>
    </w:p>
    <w:p w14:paraId="5966E1E8">
      <w:pPr>
        <w:pStyle w:val="2"/>
        <w:keepNext w:val="0"/>
        <w:keepLines w:val="0"/>
        <w:pageBreakBefore w:val="0"/>
        <w:widowControl w:val="0"/>
        <w:tabs>
          <w:tab w:val="left" w:pos="4840"/>
          <w:tab w:val="left" w:pos="5460"/>
          <w:tab w:val="left" w:pos="58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Autospacing="0"/>
        <w:ind w:firstLine="3080" w:firstLineChars="1100"/>
        <w:jc w:val="both"/>
        <w:textAlignment w:val="auto"/>
        <w:rPr>
          <w:rFonts w:hint="eastAsia" w:asciiTheme="majorEastAsia" w:hAnsiTheme="majorEastAsia" w:eastAsiaTheme="majorEastAsia" w:cstheme="majorEastAsia"/>
          <w:b w:val="0"/>
          <w:bCs w:val="0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kern w:val="2"/>
          <w:sz w:val="28"/>
          <w:szCs w:val="28"/>
          <w:vertAlign w:val="baseline"/>
          <w:lang w:val="en-US" w:eastAsia="zh-CN" w:bidi="ar-SA"/>
        </w:rPr>
        <w:t>报价供应商全称（盖章）：</w:t>
      </w:r>
    </w:p>
    <w:p w14:paraId="3BCEA19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firstLine="4760" w:firstLineChars="1700"/>
        <w:textAlignment w:val="auto"/>
        <w:rPr>
          <w:rFonts w:hint="eastAsia" w:asciiTheme="majorEastAsia" w:hAnsiTheme="majorEastAsia" w:eastAsiaTheme="majorEastAsia" w:cstheme="majorEastAsia"/>
          <w:b w:val="0"/>
          <w:bCs w:val="0"/>
          <w:kern w:val="2"/>
          <w:sz w:val="28"/>
          <w:szCs w:val="28"/>
          <w:vertAlign w:val="baseline"/>
          <w:lang w:val="en-US" w:eastAsia="zh-CN" w:bidi="ar-SA"/>
        </w:rPr>
      </w:pPr>
    </w:p>
    <w:p w14:paraId="7B14049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firstLine="3080" w:firstLineChars="1100"/>
        <w:textAlignment w:val="auto"/>
        <w:rPr>
          <w:rFonts w:hint="eastAsia" w:asciiTheme="majorEastAsia" w:hAnsiTheme="majorEastAsia" w:eastAsiaTheme="majorEastAsia" w:cstheme="majorEastAsia"/>
          <w:b w:val="0"/>
          <w:bCs w:val="0"/>
          <w:kern w:val="2"/>
          <w:sz w:val="28"/>
          <w:szCs w:val="28"/>
          <w:vertAlign w:val="baseline"/>
          <w:lang w:val="en-US" w:eastAsia="zh-CN" w:bidi="ar-SA"/>
        </w:rPr>
      </w:pPr>
    </w:p>
    <w:p w14:paraId="1807666B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firstLine="3080" w:firstLineChars="1100"/>
        <w:textAlignment w:val="auto"/>
        <w:rPr>
          <w:rFonts w:hint="eastAsia" w:asciiTheme="majorEastAsia" w:hAnsiTheme="majorEastAsia" w:eastAsiaTheme="majorEastAsia" w:cstheme="majorEastAsia"/>
          <w:b w:val="0"/>
          <w:bCs w:val="0"/>
          <w:kern w:val="2"/>
          <w:sz w:val="28"/>
          <w:szCs w:val="28"/>
          <w:vertAlign w:val="baseline"/>
          <w:lang w:val="en-US" w:eastAsia="zh-CN" w:bidi="ar-SA"/>
        </w:rPr>
      </w:pPr>
    </w:p>
    <w:p w14:paraId="1E3308FD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firstLine="3080" w:firstLineChars="1100"/>
        <w:textAlignment w:val="auto"/>
        <w:rPr>
          <w:rFonts w:hint="eastAsia" w:asciiTheme="majorEastAsia" w:hAnsiTheme="majorEastAsia" w:eastAsiaTheme="majorEastAsia" w:cstheme="majorEastAsia"/>
          <w:b w:val="0"/>
          <w:bCs w:val="0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kern w:val="2"/>
          <w:sz w:val="28"/>
          <w:szCs w:val="28"/>
          <w:vertAlign w:val="baseline"/>
          <w:lang w:val="en-US" w:eastAsia="zh-CN" w:bidi="ar-SA"/>
        </w:rPr>
        <w:t>联系人及电话：</w:t>
      </w:r>
    </w:p>
    <w:p w14:paraId="435416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firstLine="3080" w:firstLineChars="1100"/>
        <w:textAlignment w:val="auto"/>
        <w:rPr>
          <w:rFonts w:hint="eastAsia" w:asciiTheme="majorEastAsia" w:hAnsiTheme="majorEastAsia" w:eastAsiaTheme="majorEastAsia" w:cstheme="majorEastAsia"/>
          <w:b w:val="0"/>
          <w:bCs w:val="0"/>
          <w:kern w:val="2"/>
          <w:sz w:val="28"/>
          <w:szCs w:val="28"/>
          <w:vertAlign w:val="baseline"/>
          <w:lang w:val="en-US" w:eastAsia="zh-CN" w:bidi="ar-SA"/>
        </w:rPr>
      </w:pPr>
    </w:p>
    <w:p w14:paraId="35807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firstLine="3080" w:firstLineChars="1100"/>
        <w:textAlignment w:val="auto"/>
        <w:rPr>
          <w:rFonts w:hint="eastAsia" w:asciiTheme="majorEastAsia" w:hAnsiTheme="majorEastAsia" w:eastAsiaTheme="majorEastAsia" w:cstheme="majorEastAsia"/>
          <w:b w:val="0"/>
          <w:bCs w:val="0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kern w:val="2"/>
          <w:sz w:val="28"/>
          <w:szCs w:val="28"/>
          <w:vertAlign w:val="baseline"/>
          <w:lang w:val="en-US" w:eastAsia="zh-CN" w:bidi="ar-SA"/>
        </w:rPr>
        <w:t>报价日期：</w:t>
      </w:r>
    </w:p>
    <w:p w14:paraId="1172ED5F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right="68"/>
        <w:jc w:val="both"/>
        <w:textAlignment w:val="baseline"/>
        <w:rPr>
          <w:rFonts w:hint="eastAsia" w:ascii="仿宋_GB2312" w:hAnsi="仿宋_GB2312" w:eastAsia="仿宋_GB2312" w:cs="仿宋_GB2312"/>
          <w:color w:val="auto"/>
          <w:spacing w:val="3"/>
          <w:sz w:val="32"/>
          <w:szCs w:val="32"/>
          <w:lang w:eastAsia="zh-CN"/>
        </w:rPr>
      </w:pPr>
    </w:p>
    <w:sectPr>
      <w:footerReference r:id="rId3" w:type="default"/>
      <w:pgSz w:w="11906" w:h="16839"/>
      <w:pgMar w:top="1247" w:right="1417" w:bottom="1247" w:left="1417" w:header="0" w:footer="850" w:gutter="0"/>
      <w:pgNumType w:fmt="numberInDash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56A1187"/>
    <w:multiLevelType w:val="singleLevel"/>
    <w:tmpl w:val="756A1187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